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9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Паспорт </w:t>
      </w:r>
      <w:r>
        <w:rPr>
          <w:rFonts w:cs="Times New Roman" w:ascii="Times New Roman" w:hAnsi="Times New Roman"/>
          <w:sz w:val="28"/>
          <w:szCs w:val="28"/>
        </w:rPr>
        <w:t>проекта л</w:t>
      </w: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  <w:t>етн</w:t>
      </w: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  <w:t>ей</w:t>
      </w: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  <w:t xml:space="preserve"> каникулярн</w:t>
      </w: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  <w:t>ой</w:t>
      </w: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  <w:t xml:space="preserve"> смен</w:t>
      </w: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  <w:t>ы</w:t>
      </w:r>
      <w:r>
        <w:rPr>
          <w:rFonts w:eastAsia="Calibri" w:cs="Times New Roman" w:ascii="Times New Roman" w:hAnsi="Times New Roman"/>
          <w:kern w:val="0"/>
          <w:sz w:val="28"/>
          <w:szCs w:val="28"/>
          <w:lang w:val="ru-RU" w:eastAsia="en-US" w:bidi="ar-SA"/>
        </w:rPr>
        <w:t xml:space="preserve"> «Школа добровольца»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4"/>
        <w:tblW w:w="10632" w:type="dxa"/>
        <w:jc w:val="start"/>
        <w:tblInd w:w="-85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563"/>
        <w:gridCol w:w="3123"/>
        <w:gridCol w:w="6946"/>
      </w:tblGrid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31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Название номинации</w:t>
            </w:r>
          </w:p>
        </w:tc>
        <w:tc>
          <w:tcPr>
            <w:tcW w:w="69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Лучшая практика реализации дополнительных общеобразовательных программ социально-гуманитарной направленности</w:t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31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Название организации</w:t>
            </w:r>
          </w:p>
        </w:tc>
        <w:tc>
          <w:tcPr>
            <w:tcW w:w="69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Муниципальное бюджетное учреждение дополнительного образования «Центр дополнительного образования «Созвездие» г.Балашова Саратовской области</w:t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31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Автор (авторы)</w:t>
            </w:r>
          </w:p>
        </w:tc>
        <w:tc>
          <w:tcPr>
            <w:tcW w:w="69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Богатырева Алена Игоревна – педагог-организатор, руководитель Центра общественного развития Добро.Центра г.Балашова</w:t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4</w:t>
            </w:r>
          </w:p>
        </w:tc>
        <w:tc>
          <w:tcPr>
            <w:tcW w:w="31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Название практики</w:t>
            </w:r>
          </w:p>
        </w:tc>
        <w:tc>
          <w:tcPr>
            <w:tcW w:w="69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Летняя каникулярная смена «Школа добровольца»</w:t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5</w:t>
            </w:r>
          </w:p>
        </w:tc>
        <w:tc>
          <w:tcPr>
            <w:tcW w:w="31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Ключевая идея практики</w:t>
            </w:r>
          </w:p>
        </w:tc>
        <w:tc>
          <w:tcPr>
            <w:tcW w:w="69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«От интереса — к действию, от первой пробы — к собственной траектории». Ключевая идея практики заключается в создании образовательной среды, в которой подросток не только получает знания о добровольчестве, но и последовательно проходит этапы диагностики знакомства с направлениями практической пробы рефлексии осознанного выбора дальнейшего участия. Содержание смены проектируется с учетом стартовых интересов и опыта участников, а каждое направление добровольческой деятельности раскрывается через практическое действие, командную работу и взаимодействие с носителями реального профессионального опыта. Практика ориентирована на самоопределение подростка в сфере общественно значимой деятельности, развитие инициативности, коммуникативных, проектных, организационных и медиакомпетенций.</w:t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6</w:t>
            </w:r>
          </w:p>
        </w:tc>
        <w:tc>
          <w:tcPr>
            <w:tcW w:w="31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Целевая аудитория практики</w:t>
            </w:r>
          </w:p>
        </w:tc>
        <w:tc>
          <w:tcPr>
            <w:tcW w:w="69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Подростки 13–17 лет (7–11 классы), в том числе обучающиеся, не имеющие опыта добровольческой деятельности или находящиеся на этапе выбора интересующего направления. Оптимальная группа — до 20 участников, что позволяет сочетать индивидуальную диагностику, командную работу и персональную педагогическую поддержку.</w:t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7</w:t>
            </w:r>
          </w:p>
        </w:tc>
        <w:tc>
          <w:tcPr>
            <w:tcW w:w="31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Период реализации практики</w:t>
            </w:r>
          </w:p>
        </w:tc>
        <w:tc>
          <w:tcPr>
            <w:tcW w:w="69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Работа смены рассчитана на 5 дней. Практика реализуется третий год, что позволяет анализировать устойчивость модели, совершенствовать содержание на основе опыта предыдущих реализаций и расширять партнерское взаимодействие.</w:t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8</w:t>
            </w:r>
          </w:p>
        </w:tc>
        <w:tc>
          <w:tcPr>
            <w:tcW w:w="31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Актуальность внедрения практики</w:t>
            </w:r>
          </w:p>
        </w:tc>
        <w:tc>
          <w:tcPr>
            <w:tcW w:w="69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Современный подросток имеет широкий доступ к информации о добровольчестве, однако информированность не всегда приводит к реальному участию. На практике подростки могут испытывать затруднения в определении собственных интересов, выборе направления добровольческой деятельности, понимании своих возможностей и первого шага к участию. Отдельной проблемой становится разный уровень опыта подростков: в одной группе могут находиться как начинающие, так и уже вовлеченные участники. Возникает педагогическая потребность не просто познакомить подростка с добровольчеством, а создать безопасное пространство практической пробы, где он может попробовать себя в разных ролях и направлениях, получить обратную связь, оценить собственные возможности и сделать осознанный выбор. Практика «Школа добровольца» отвечает этой потребности посредством персонализации содержания на основе входной диагностики, практико-ориентированного обучения, проектной и командной деятельности, принципа «равный — равному», партнерского взаимодействия и итоговой диагностики. Таким образом, решается проблема разрыва между «знаю о добровольчестве» и «готов самостоятельно участвовать в добровольческой деятельности».</w:t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9</w:t>
            </w:r>
          </w:p>
        </w:tc>
        <w:tc>
          <w:tcPr>
            <w:tcW w:w="31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Целевой блок практики (цель, задачи, ожидаемые результаты практики)</w:t>
            </w:r>
          </w:p>
        </w:tc>
        <w:tc>
          <w:tcPr>
            <w:tcW w:w="69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Цель: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формирование опыта социально-полезной деятельности через приобщение к добровольческой деятельности.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Задачи: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1. Выявить стартовый опыт, интересы, образовательные потребности и запросы участников посредством входной диагностики.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2. Познакомить подростков с различными направлениями добровольческой деятельности и возможностями участия.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3. Создать условия для практической пробы себя в патриотическом, экологическом, событийном, медиаволонтерстве и проектной деятельности.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4. Развивать коммуникативные, командные, организационные, проектные и медиакомпетенции.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5. Использовать взаимодействие с практиками и партнерами как ресурс реального погружения в добровольческую деятельность.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6. Организовать рефлексию и итоговую диагностику для определения динамики результатов и дальнейших образовательных потребностей.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7. Создать условия для перехода от участия в смене к дальнейшей добровольческой деятельности.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Ожидаемые результаты: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у участников расширилось представление о направлениях добровольчества; выделили наиболее интересное для себя направление; получили опыт выполнения конкретных добровольческих ролей; развили навыки командной, проектной и организационной деятельности; повысили уверенность в собственных возможностях; у них сформировалась готовность к проявлению инициативы и  определили для себя следующий шаг в добровольческой деятельности.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Диагностируемые показатели: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- знание направлений добровольчества; - готовность участвовать;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 определенность интересов;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 уверенность в собственных навыках;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- готовность проявлять инициативу.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Практический результат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: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переход участников от краткосрочного участия в Смене к дальнейшему включению в деятельность Добро.Центра г.Балашова.</w:t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10</w:t>
            </w:r>
          </w:p>
        </w:tc>
        <w:tc>
          <w:tcPr>
            <w:tcW w:w="31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Механизм реализации практики (инструменты, форматы, технологии)</w:t>
            </w:r>
          </w:p>
        </w:tc>
        <w:tc>
          <w:tcPr>
            <w:tcW w:w="69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Практика реализуется как 5-дневная профильная каникулярная смена, содержание которой строится по принципу «от диагностики — к практике — к выбору».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Этап 1. Диагностико-проектировочный: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до начала смены проводится входная диагностика; анализируются опыт, интересы и запросы участников; на основании результатов педагог корректирует содержание и акценты программы.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Этап 2. Командообразующий: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создание разновозрастной команды, распределение ролей, использование принципа «равный — равному».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Этап 3. Практико-ориентированный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: каждый день посвящен отдельному направлению и включает последовательность «знакомство с направлением → встреча с практиком → практическое задание → командная работа → рефлексия».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u w:val="single"/>
                <w:lang w:val="ru-RU" w:eastAsia="en-US" w:bidi="ar-SA"/>
              </w:rPr>
              <w:t>День 1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— погружение в добровольчество и разработка первых проектных идей;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u w:val="single"/>
                <w:lang w:val="ru-RU" w:eastAsia="en-US" w:bidi="ar-SA"/>
              </w:rPr>
              <w:t>День 2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— патриотическое волонтерство и практика «Браслет жизни»;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u w:val="single"/>
                <w:lang w:val="ru-RU" w:eastAsia="en-US" w:bidi="ar-SA"/>
              </w:rPr>
              <w:t>День 3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— экологическое волонтерство и экологический маршрут;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u w:val="single"/>
                <w:lang w:val="ru-RU" w:eastAsia="en-US" w:bidi="ar-SA"/>
              </w:rPr>
              <w:t>День 4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— событийное волонтерство и командный формат «Фестиваль за 30 минут»;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День 5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— медиаволонтерство, работа с фотографией, контентом и историями.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Этап 4. Рефлексивно-диагностический: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анализ полученного опыта, итоговая диагностика, выявление динамики и индивидуальных интересов.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Этап 5. Постпрактический: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создание условий для дальнейшего включения подростков в деятельность Добро.Центра и Школьного Информационного Центра.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Используемые технологии: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- проектная технология,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- практико-ориентированное обучение, - технология «равный — равному»,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- командообразование,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-кейс-технология,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- игровые и интерактивные технологии, - рефлексивные практики,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- диагностическое сопровождение,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-партнерское взаимодействие,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-медиатехнологии.</w:t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11</w:t>
            </w:r>
          </w:p>
        </w:tc>
        <w:tc>
          <w:tcPr>
            <w:tcW w:w="31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Наличие цифровых следов профессионально общественного призвания или публикации сведения или материалы, отражающие участие, признание и оценку родителей или законных представителей обучающихся</w:t>
            </w:r>
          </w:p>
        </w:tc>
        <w:tc>
          <w:tcPr>
            <w:tcW w:w="69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">
              <w:r>
                <w:rPr>
                  <w:rStyle w:val="Hyperlink"/>
                  <w:rFonts w:eastAsia="Calibri" w:cs="Times New Roman" w:ascii="Times New Roman" w:hAnsi="Times New Roman"/>
                  <w:kern w:val="0"/>
                  <w:sz w:val="28"/>
                  <w:szCs w:val="28"/>
                  <w:lang w:val="ru-RU" w:eastAsia="en-US" w:bidi="ar-SA"/>
                </w:rPr>
                <w:t>https://vk.ru/wall-212424119_2103</w:t>
              </w:r>
            </w:hyperlink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">
              <w:r>
                <w:rPr>
                  <w:rStyle w:val="Hyperlink"/>
                  <w:rFonts w:eastAsia="Calibri" w:cs="Times New Roman" w:ascii="Times New Roman" w:hAnsi="Times New Roman"/>
                  <w:kern w:val="0"/>
                  <w:sz w:val="28"/>
                  <w:szCs w:val="28"/>
                  <w:lang w:val="ru-RU" w:eastAsia="en-US" w:bidi="ar-SA"/>
                </w:rPr>
                <w:t>https://vk.ru/wall-212424119_2104</w:t>
              </w:r>
            </w:hyperlink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">
              <w:r>
                <w:rPr>
                  <w:rStyle w:val="Hyperlink"/>
                  <w:rFonts w:eastAsia="Calibri" w:cs="Times New Roman" w:ascii="Times New Roman" w:hAnsi="Times New Roman"/>
                  <w:kern w:val="0"/>
                  <w:sz w:val="28"/>
                  <w:szCs w:val="28"/>
                  <w:lang w:val="ru-RU" w:eastAsia="en-US" w:bidi="ar-SA"/>
                </w:rPr>
                <w:t>https://vk.ru/wall-212424119_2105</w:t>
              </w:r>
            </w:hyperlink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>
              <w:r>
                <w:rPr>
                  <w:rStyle w:val="Hyperlink"/>
                  <w:rFonts w:eastAsia="Calibri" w:cs="Times New Roman" w:ascii="Times New Roman" w:hAnsi="Times New Roman"/>
                  <w:kern w:val="0"/>
                  <w:sz w:val="28"/>
                  <w:szCs w:val="28"/>
                  <w:lang w:val="ru-RU" w:eastAsia="en-US" w:bidi="ar-SA"/>
                </w:rPr>
                <w:t>https://vk.ru/wall-212424119_2107</w:t>
              </w:r>
            </w:hyperlink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>
              <w:r>
                <w:rPr>
                  <w:rStyle w:val="Hyperlink"/>
                  <w:rFonts w:eastAsia="Calibri" w:cs="Times New Roman" w:ascii="Times New Roman" w:hAnsi="Times New Roman"/>
                  <w:kern w:val="0"/>
                  <w:sz w:val="28"/>
                  <w:szCs w:val="28"/>
                  <w:lang w:val="ru-RU" w:eastAsia="en-US" w:bidi="ar-SA"/>
                </w:rPr>
                <w:t>https://vk.ru/wall-212424119_2109</w:t>
              </w:r>
            </w:hyperlink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>
              <w:r>
                <w:rPr>
                  <w:rStyle w:val="Hyperlink"/>
                  <w:rFonts w:eastAsia="Calibri" w:cs="Times New Roman" w:ascii="Times New Roman" w:hAnsi="Times New Roman"/>
                  <w:kern w:val="0"/>
                  <w:sz w:val="28"/>
                  <w:szCs w:val="28"/>
                  <w:lang w:val="ru-RU" w:eastAsia="en-US" w:bidi="ar-SA"/>
                </w:rPr>
                <w:t>https://vk.ru/wall-212424119_2112</w:t>
              </w:r>
            </w:hyperlink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>
              <w:r>
                <w:rPr>
                  <w:rStyle w:val="Hyperlink"/>
                  <w:rFonts w:eastAsia="Calibri" w:cs="Times New Roman" w:ascii="Times New Roman" w:hAnsi="Times New Roman"/>
                  <w:kern w:val="0"/>
                  <w:sz w:val="28"/>
                  <w:szCs w:val="28"/>
                  <w:lang w:val="ru-RU" w:eastAsia="en-US" w:bidi="ar-SA"/>
                </w:rPr>
                <w:t>https://vk.ru/wall-139591598_21105</w:t>
              </w:r>
            </w:hyperlink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12</w:t>
            </w:r>
          </w:p>
        </w:tc>
        <w:tc>
          <w:tcPr>
            <w:tcW w:w="31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Ресурсы, необходимые для реализации практики</w:t>
            </w:r>
          </w:p>
        </w:tc>
        <w:tc>
          <w:tcPr>
            <w:tcW w:w="69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Кадровые: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педагог-организатор/педагог дополнительного образования, приглашенные эксперты и партнеры, специалисты профильных организаций.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Материально-технические: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помещения для групповой и индивидуальной работы, мультимедийное оборудование, компьютер/ноутбук, проектор, фото- и видеотехника, расходные материалы для практических заданий.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Информационные: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диагностические материалы, сценарии, кейсы, методические разработки, презентации, цифровые платформы и социальные сети.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Партнерские: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организации и специалисты экологической, медиасферы, журналистики и других направлений добровольчества.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Организационные: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предварительный набор участников, сбор заявок, проведение входной диагностики, планирование программы, сопровождение участников, организация итоговой диагностики и последующего включения подростков в добровольческие объединения.</w:t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13</w:t>
            </w:r>
          </w:p>
        </w:tc>
        <w:tc>
          <w:tcPr>
            <w:tcW w:w="31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Краткий анализ практики (риски и возможности практики, её слабые и сильные стороны)</w:t>
            </w:r>
          </w:p>
        </w:tc>
        <w:tc>
          <w:tcPr>
            <w:tcW w:w="69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u w:val="single"/>
                <w:lang w:val="ru-RU" w:eastAsia="en-US" w:bidi="ar-SA"/>
              </w:rPr>
              <w:t>Сильные стороны: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диагностический подход к проектированию содержания; практическая направленность; возможность безопасной пробы разных видов деятельности; разновозрастное взаимодействие по принципу «равный — равному»; партнерское участие практиков; сочетание групповой и индивидуальной работы; наличие входной и итоговой диагностики; ориентация на дальнейшее участие, а не только на результат пятидневной смены; повторная реализация в течение трех лет.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Слабые стороны: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часть результатов проявляется уже после завершения смены и требует дальнейшего сопровождения; зависимость отдельных практик от доступности профильных партнеров.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Риски: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различный уровень мотивации и опыта участников; снижение активности отдельных подростков; ограниченность временных ресурсов; невозможность реализовать все инициативы участников в рамках одной смены.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Способы минимизации: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предварительная диагностика; гибкая корректировка содержания; распределение ролей с учетом возможностей участников; командные форматы; индивидуальная педагогическая поддержка; привлечение партнеров; рефлексия после каждого практического блока. </w:t>
            </w:r>
            <w:bookmarkStart w:id="0" w:name="_GoBack"/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Возможности развития: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bookmarkEnd w:id="0"/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расширение перечня профильных направлений; создание индивидуальных маршрутов участников; увеличение продолжительности практической части; разработка банка кейсов и диагностических материалов; включение выпускников смены в качестве наставников по принципу «равный — равному»; масштабирование практики на другие учреждения дополнительного образования.</w:t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14</w:t>
            </w:r>
          </w:p>
        </w:tc>
        <w:tc>
          <w:tcPr>
            <w:tcW w:w="31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Дополнительные материалы, отражающие ее эффективность</w:t>
            </w:r>
          </w:p>
        </w:tc>
        <w:tc>
          <w:tcPr>
            <w:tcW w:w="69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15</w:t>
            </w:r>
          </w:p>
        </w:tc>
        <w:tc>
          <w:tcPr>
            <w:tcW w:w="31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Ссылка на видеоконтент</w:t>
            </w:r>
          </w:p>
        </w:tc>
        <w:tc>
          <w:tcPr>
            <w:tcW w:w="69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>
              <w:r>
                <w:rPr>
                  <w:rStyle w:val="Hyperlink"/>
                  <w:rFonts w:eastAsia="Calibri" w:cs="Times New Roman" w:ascii="Times New Roman" w:hAnsi="Times New Roman"/>
                  <w:kern w:val="0"/>
                  <w:sz w:val="28"/>
                  <w:szCs w:val="28"/>
                  <w:lang w:val="ru-RU" w:eastAsia="en-US" w:bidi="ar-SA"/>
                </w:rPr>
                <w:t>https://disk.yandex.ru/i/eC2Fd_FcG5RSog</w:t>
              </w:r>
            </w:hyperlink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</w:tc>
      </w:tr>
    </w:tbl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yperlink">
    <w:name w:val="Hyperlink"/>
    <w:basedOn w:val="DefaultParagraphFont"/>
    <w:uiPriority w:val="99"/>
    <w:unhideWhenUsed/>
    <w:rsid w:val="00ee12a6"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64bc"/>
    <w:rPr>
      <w:color w:themeColor="followedHyperlink" w:val="954F72"/>
      <w:u w:val="single"/>
    </w:rPr>
  </w:style>
  <w:style w:type="paragraph" w:styleId="Style14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pPr>
      <w:suppressLineNumbers/>
    </w:pPr>
    <w:rPr>
      <w:rFonts w:cs="Noto Sans Devanagari"/>
    </w:rPr>
  </w:style>
  <w:style w:type="paragraph" w:styleId="ListBullet">
    <w:name w:val="List Bullet"/>
    <w:basedOn w:val="Normal"/>
    <w:uiPriority w:val="99"/>
    <w:unhideWhenUsed/>
    <w:rsid w:val="00983492"/>
    <w:pPr>
      <w:numPr>
        <w:ilvl w:val="0"/>
        <w:numId w:val="1"/>
      </w:numPr>
      <w:spacing w:before="0" w:after="160"/>
      <w:contextualSpacing/>
    </w:pPr>
    <w:rPr/>
  </w:style>
  <w:style w:type="numbering" w:styleId="Style16" w:default="1">
    <w:name w:val="Без списка"/>
    <w:uiPriority w:val="99"/>
    <w:semiHidden/>
    <w:unhideWhenUsed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2"/>
    <w:uiPriority w:val="39"/>
    <w:rsid w:val="00df7a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.ru/wall-212424119_2103" TargetMode="External"/><Relationship Id="rId3" Type="http://schemas.openxmlformats.org/officeDocument/2006/relationships/hyperlink" Target="https://vk.ru/wall-212424119_2104" TargetMode="External"/><Relationship Id="rId4" Type="http://schemas.openxmlformats.org/officeDocument/2006/relationships/hyperlink" Target="https://vk.ru/wall-212424119_2105" TargetMode="External"/><Relationship Id="rId5" Type="http://schemas.openxmlformats.org/officeDocument/2006/relationships/hyperlink" Target="https://vk.ru/wall-212424119_2107" TargetMode="External"/><Relationship Id="rId6" Type="http://schemas.openxmlformats.org/officeDocument/2006/relationships/hyperlink" Target="https://vk.ru/wall-212424119_2109" TargetMode="External"/><Relationship Id="rId7" Type="http://schemas.openxmlformats.org/officeDocument/2006/relationships/hyperlink" Target="https://vk.ru/wall-212424119_2112" TargetMode="External"/><Relationship Id="rId8" Type="http://schemas.openxmlformats.org/officeDocument/2006/relationships/hyperlink" Target="https://vk.ru/wall-139591598_21105" TargetMode="External"/><Relationship Id="rId9" Type="http://schemas.openxmlformats.org/officeDocument/2006/relationships/hyperlink" Target="https://disk.yandex.ru/i/eC2Fd_FcG5RSog" TargetMode="Externa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Application>LibreOffice/26.8.0.3$Linux_X86_64 LibreOffice_project/680$Build-3</Application>
  <AppVersion>15.0000</AppVersion>
  <Pages>6</Pages>
  <Words>1035</Words>
  <Characters>8581</Characters>
  <CharactersWithSpaces>9587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2026-08-24T06:25:00Z</dcterms:created>
  <dc:creator>LIDER</dc:creator>
  <dc:description/>
  <dc:language>ru-RU</dc:language>
  <cp:lastModifiedBy/>
  <dcterms:modified xsi:type="dcterms:W3CDTF">2026-10-01T19:44:16Z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